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FFC" w:rsidRDefault="00394FFC">
      <w:pPr>
        <w:suppressAutoHyphens/>
        <w:jc w:val="center"/>
        <w:rPr>
          <w:b/>
          <w:caps/>
          <w:noProof/>
          <w:szCs w:val="24"/>
          <w:lang w:eastAsia="lt-LT"/>
        </w:rPr>
      </w:pPr>
      <w:r>
        <w:rPr>
          <w:noProof/>
          <w:lang w:eastAsia="lt-LT"/>
        </w:rPr>
        <w:drawing>
          <wp:inline distT="0" distB="0" distL="0" distR="0" wp14:anchorId="0E2B81F5" wp14:editId="36254FF3">
            <wp:extent cx="542290" cy="597535"/>
            <wp:effectExtent l="0" t="0" r="0" b="0"/>
            <wp:docPr id="2" name="Picture 2" descr="A black and white logo  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black and white logo  Description automatically generated"/>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290" cy="597535"/>
                    </a:xfrm>
                    <a:prstGeom prst="rect">
                      <a:avLst/>
                    </a:prstGeom>
                    <a:noFill/>
                  </pic:spPr>
                </pic:pic>
              </a:graphicData>
            </a:graphic>
          </wp:inline>
        </w:drawing>
      </w:r>
    </w:p>
    <w:p w:rsidR="00124D25" w:rsidRDefault="00FE1B19">
      <w:pPr>
        <w:suppressAutoHyphens/>
        <w:jc w:val="center"/>
        <w:rPr>
          <w:b/>
          <w:caps/>
          <w:szCs w:val="24"/>
        </w:rPr>
      </w:pPr>
      <w:r>
        <w:rPr>
          <w:b/>
          <w:caps/>
          <w:szCs w:val="24"/>
        </w:rPr>
        <w:t>VALSTYBINĖ ENERGETIKOS REGULIAVIMO TARYBA</w:t>
      </w:r>
    </w:p>
    <w:p w:rsidR="00124D25" w:rsidRDefault="00124D25">
      <w:pPr>
        <w:suppressAutoHyphens/>
        <w:jc w:val="center"/>
        <w:rPr>
          <w:b/>
          <w:caps/>
          <w:lang w:eastAsia="lt-LT"/>
        </w:rPr>
      </w:pPr>
    </w:p>
    <w:p w:rsidR="00124D25" w:rsidRDefault="00FE1B19">
      <w:pPr>
        <w:suppressAutoHyphens/>
        <w:jc w:val="center"/>
        <w:rPr>
          <w:b/>
          <w:caps/>
          <w:lang w:eastAsia="lt-LT"/>
        </w:rPr>
      </w:pPr>
      <w:r>
        <w:rPr>
          <w:b/>
          <w:caps/>
          <w:lang w:eastAsia="lt-LT"/>
        </w:rPr>
        <w:t>NUTARIMAS</w:t>
      </w:r>
    </w:p>
    <w:p w:rsidR="00124D25" w:rsidRDefault="00FE1B19">
      <w:pPr>
        <w:suppressAutoHyphens/>
        <w:jc w:val="center"/>
        <w:rPr>
          <w:b/>
          <w:caps/>
          <w:color w:val="000000"/>
          <w:lang w:eastAsia="lt-LT"/>
        </w:rPr>
      </w:pPr>
      <w:r>
        <w:rPr>
          <w:b/>
          <w:caps/>
          <w:color w:val="000000"/>
        </w:rPr>
        <w:t>DĖL ab „Akmenės cementas</w:t>
      </w:r>
      <w:r>
        <w:rPr>
          <w:b/>
          <w:color w:val="000000"/>
        </w:rPr>
        <w:t>“</w:t>
      </w:r>
      <w:r>
        <w:rPr>
          <w:color w:val="000000"/>
        </w:rPr>
        <w:t xml:space="preserve"> </w:t>
      </w:r>
      <w:r>
        <w:rPr>
          <w:b/>
          <w:caps/>
          <w:color w:val="000000"/>
        </w:rPr>
        <w:t>2024 metų elektros energijos persiuntimo paslAugOS kainų ir tarifų bei jų taikymo tvarkos paskelbimo</w:t>
      </w:r>
    </w:p>
    <w:p w:rsidR="00124D25" w:rsidRDefault="00124D25">
      <w:pPr>
        <w:suppressAutoHyphens/>
        <w:jc w:val="center"/>
        <w:rPr>
          <w:b/>
          <w:caps/>
          <w:lang w:eastAsia="lt-LT"/>
        </w:rPr>
      </w:pPr>
    </w:p>
    <w:p w:rsidR="00124D25" w:rsidRDefault="00FE1B19">
      <w:pPr>
        <w:suppressAutoHyphens/>
        <w:jc w:val="center"/>
        <w:rPr>
          <w:color w:val="000000"/>
          <w:lang w:eastAsia="lt-LT"/>
        </w:rPr>
      </w:pPr>
      <w:r>
        <w:rPr>
          <w:color w:val="000000"/>
          <w:lang w:eastAsia="lt-LT"/>
        </w:rPr>
        <w:t xml:space="preserve">2023 m. lapkričio </w:t>
      </w:r>
      <w:r w:rsidR="00394FFC">
        <w:rPr>
          <w:color w:val="000000"/>
          <w:lang w:eastAsia="lt-LT"/>
        </w:rPr>
        <w:t>16</w:t>
      </w:r>
      <w:r>
        <w:rPr>
          <w:color w:val="000000"/>
          <w:lang w:eastAsia="lt-LT"/>
        </w:rPr>
        <w:t xml:space="preserve"> d. Nr. </w:t>
      </w:r>
      <w:r w:rsidR="00394FFC" w:rsidRPr="00394FFC">
        <w:rPr>
          <w:bCs/>
        </w:rPr>
        <w:t>O3E-1665</w:t>
      </w:r>
    </w:p>
    <w:p w:rsidR="00F3746C" w:rsidRDefault="00FE1B19" w:rsidP="00F3746C">
      <w:pPr>
        <w:suppressAutoHyphens/>
        <w:jc w:val="center"/>
        <w:rPr>
          <w:color w:val="000000"/>
          <w:lang w:eastAsia="lt-LT"/>
        </w:rPr>
      </w:pPr>
      <w:r>
        <w:rPr>
          <w:color w:val="000000"/>
          <w:lang w:eastAsia="lt-LT"/>
        </w:rPr>
        <w:t>Vilnius</w:t>
      </w:r>
    </w:p>
    <w:p w:rsidR="00F3746C" w:rsidRDefault="00F3746C" w:rsidP="00F3746C">
      <w:pPr>
        <w:suppressAutoHyphens/>
        <w:jc w:val="center"/>
        <w:rPr>
          <w:color w:val="00B050"/>
          <w:lang w:eastAsia="lt-LT"/>
        </w:rPr>
      </w:pPr>
    </w:p>
    <w:p w:rsidR="00124D25" w:rsidRDefault="00FE1B19">
      <w:pPr>
        <w:suppressAutoHyphens/>
        <w:ind w:firstLine="720"/>
        <w:jc w:val="both"/>
        <w:rPr>
          <w:szCs w:val="24"/>
          <w:lang w:eastAsia="lt-LT"/>
        </w:rPr>
      </w:pPr>
      <w:r>
        <w:rPr>
          <w:color w:val="000000"/>
          <w:szCs w:val="24"/>
          <w:lang w:eastAsia="lt-LT"/>
        </w:rPr>
        <w:t xml:space="preserve">Vadovaudamasi Lietuvos Respublikos elektros energetikos įstatymo 69 straipsnio 9 dalimi, Elektros energijos perdavimo, skirstymo ir visuomeninio tiekimo paslaugų bei visuomeninės kainos viršutinės ribos nustatymo metodikos, patvirtintos Valstybinės energetikos reguliavimo tarybos (toliau – Taryba) 2015 m. sausio 15 d. nutarimu Nr. O3-3 „Dėl Elektros energijos perdavimo, skirstymo ir visuomeninio tiekimo paslaugų bei visuomeninės kainos viršutinės ribos nustatymo metodikos patvirtinimo“, 127, 128 punktais bei </w:t>
      </w:r>
      <w:r>
        <w:rPr>
          <w:color w:val="000000"/>
          <w:lang w:eastAsia="lt-LT"/>
        </w:rPr>
        <w:t xml:space="preserve">atsižvelgdama į </w:t>
      </w:r>
      <w:r>
        <w:rPr>
          <w:color w:val="000000"/>
          <w:szCs w:val="24"/>
          <w:lang w:eastAsia="lt-LT"/>
        </w:rPr>
        <w:t xml:space="preserve">AB „Akmenės cementas“ 2023 m. </w:t>
      </w:r>
      <w:r>
        <w:rPr>
          <w:color w:val="000000"/>
        </w:rPr>
        <w:t>spalio 27 d. raštą</w:t>
      </w:r>
      <w:r>
        <w:rPr>
          <w:color w:val="00B050"/>
        </w:rPr>
        <w:t xml:space="preserve"> </w:t>
      </w:r>
      <w:r>
        <w:t>(</w:t>
      </w:r>
      <w:proofErr w:type="spellStart"/>
      <w:r>
        <w:t>reg</w:t>
      </w:r>
      <w:proofErr w:type="spellEnd"/>
      <w:r>
        <w:t>. Nr.</w:t>
      </w:r>
      <w:r>
        <w:rPr>
          <w:sz w:val="22"/>
          <w:szCs w:val="22"/>
        </w:rPr>
        <w:t xml:space="preserve"> </w:t>
      </w:r>
      <w:r>
        <w:t>R1-15458), 2023 m. spalio 30 d. raštus (</w:t>
      </w:r>
      <w:proofErr w:type="spellStart"/>
      <w:r>
        <w:t>reg</w:t>
      </w:r>
      <w:proofErr w:type="spellEnd"/>
      <w:r>
        <w:t xml:space="preserve">. Nr. R1-15562 ir R1-15567) </w:t>
      </w:r>
      <w:r>
        <w:rPr>
          <w:lang w:eastAsia="lt-LT"/>
        </w:rPr>
        <w:t xml:space="preserve">ir Tarybos Dujų ir elektros departamento Elektros skyriaus 2023 m. lapkričio 10 d. pažymą Nr. O5E-965 </w:t>
      </w:r>
      <w:r>
        <w:t xml:space="preserve">Dėl </w:t>
      </w:r>
      <w:r>
        <w:rPr>
          <w:lang w:eastAsia="lt-LT"/>
        </w:rPr>
        <w:t xml:space="preserve">AB </w:t>
      </w:r>
      <w:r>
        <w:rPr>
          <w:szCs w:val="24"/>
          <w:lang w:eastAsia="lt-LT"/>
        </w:rPr>
        <w:t>„Akmenės cementas“</w:t>
      </w:r>
      <w:r>
        <w:rPr>
          <w:lang w:eastAsia="lt-LT"/>
        </w:rPr>
        <w:t xml:space="preserve"> 2024 metų elektros energijos persiuntimo paslaugos kainų ir tarifų bei jų taikymo tvarkos paskelbimo“, Taryba</w:t>
      </w:r>
      <w:r>
        <w:rPr>
          <w:szCs w:val="24"/>
          <w:lang w:eastAsia="lt-LT"/>
        </w:rPr>
        <w:t xml:space="preserve"> n u t a r i a:</w:t>
      </w:r>
    </w:p>
    <w:p w:rsidR="00124D25" w:rsidRDefault="00F3746C">
      <w:pPr>
        <w:tabs>
          <w:tab w:val="left" w:pos="0"/>
          <w:tab w:val="left" w:pos="1134"/>
        </w:tabs>
        <w:suppressAutoHyphens/>
        <w:ind w:firstLine="720"/>
        <w:jc w:val="both"/>
        <w:rPr>
          <w:szCs w:val="24"/>
          <w:lang w:eastAsia="lt-LT"/>
        </w:rPr>
      </w:pPr>
      <w:r w:rsidR="00FE1B19">
        <w:rPr>
          <w:szCs w:val="24"/>
          <w:lang w:eastAsia="lt-LT"/>
        </w:rPr>
        <w:t>1</w:t>
      </w:r>
      <w:r w:rsidR="00FE1B19">
        <w:rPr>
          <w:szCs w:val="24"/>
          <w:lang w:eastAsia="lt-LT"/>
        </w:rPr>
        <w:t>.</w:t>
      </w:r>
      <w:r w:rsidR="00FE1B19">
        <w:rPr>
          <w:szCs w:val="24"/>
          <w:lang w:eastAsia="lt-LT"/>
        </w:rPr>
        <w:tab/>
      </w:r>
      <w:r w:rsidR="00FE1B19">
        <w:rPr>
          <w:szCs w:val="24"/>
        </w:rPr>
        <w:t xml:space="preserve">Paskelbti </w:t>
      </w:r>
      <w:r w:rsidR="00FE1B19">
        <w:rPr>
          <w:szCs w:val="24"/>
          <w:lang w:eastAsia="lt-LT"/>
        </w:rPr>
        <w:t>AB „Akmenės cementas“ generalinio direktoriaus 2023 m. spalio 27 d. įsakymu Nr. 66 patvirtintas AB „Akmenės cementas“ persiuntimo paslaugos kainas ir tarifus bei jų taikymo tvarką 2024 metams (toliau – Tvarka) (pridedama).</w:t>
      </w:r>
    </w:p>
    <w:p w:rsidR="00124D25" w:rsidRDefault="00F3746C">
      <w:pPr>
        <w:tabs>
          <w:tab w:val="left" w:pos="0"/>
          <w:tab w:val="left" w:pos="1134"/>
        </w:tabs>
        <w:suppressAutoHyphens/>
        <w:ind w:firstLine="720"/>
        <w:jc w:val="both"/>
        <w:rPr>
          <w:szCs w:val="24"/>
          <w:lang w:eastAsia="lt-LT"/>
        </w:rPr>
      </w:pPr>
      <w:r w:rsidR="00FE1B19">
        <w:rPr>
          <w:szCs w:val="24"/>
          <w:lang w:eastAsia="lt-LT"/>
        </w:rPr>
        <w:t>2</w:t>
      </w:r>
      <w:r w:rsidR="00FE1B19">
        <w:rPr>
          <w:szCs w:val="24"/>
          <w:lang w:eastAsia="lt-LT"/>
        </w:rPr>
        <w:t>.</w:t>
      </w:r>
      <w:r w:rsidR="00FE1B19">
        <w:rPr>
          <w:szCs w:val="24"/>
          <w:lang w:eastAsia="lt-LT"/>
        </w:rPr>
        <w:tab/>
        <w:t>Nustatyti, kad šio nutarimo 1 punkte nurodyta Tvarka taikoma nuo 2024 m. sausio 1 d.</w:t>
      </w:r>
    </w:p>
    <w:p w:rsidR="00124D25" w:rsidRDefault="00FE1B19" w:rsidP="00394FFC">
      <w:pPr>
        <w:tabs>
          <w:tab w:val="left" w:pos="1134"/>
        </w:tabs>
        <w:suppressAutoHyphens/>
        <w:ind w:firstLine="720"/>
        <w:jc w:val="both"/>
        <w:rPr>
          <w:szCs w:val="24"/>
          <w:lang w:eastAsia="lt-LT"/>
        </w:rPr>
      </w:pPr>
      <w:r>
        <w:rPr>
          <w:szCs w:val="24"/>
          <w:lang w:eastAsia="lt-LT"/>
        </w:rPr>
        <w:t>Šis nutarimas gali būti skundžiamas Lietuvos Respublikos administracinių bylų teisenos įstatymo nustatyta tvarka ir sąlygomis.</w:t>
      </w:r>
    </w:p>
    <w:p w:rsidR="00394FFC" w:rsidRDefault="00394FFC">
      <w:pPr>
        <w:suppressAutoHyphens/>
        <w:jc w:val="both"/>
      </w:pPr>
    </w:p>
    <w:p w:rsidR="00394FFC" w:rsidRDefault="00394FFC">
      <w:pPr>
        <w:suppressAutoHyphens/>
        <w:jc w:val="both"/>
      </w:pPr>
    </w:p>
    <w:p w:rsidR="00394FFC" w:rsidRDefault="00394FFC">
      <w:pPr>
        <w:suppressAutoHyphens/>
        <w:jc w:val="both"/>
      </w:pPr>
    </w:p>
    <w:p w:rsidR="00124D25" w:rsidRDefault="00FE1B19" w:rsidP="00394FFC">
      <w:pPr>
        <w:suppressAutoHyphens/>
        <w:jc w:val="both"/>
        <w:rPr>
          <w:sz w:val="22"/>
          <w:szCs w:val="22"/>
        </w:rPr>
      </w:pPr>
      <w:r>
        <w:rPr>
          <w:bCs/>
          <w:szCs w:val="24"/>
        </w:rPr>
        <w:t>Tarybos pirmininkas</w:t>
      </w:r>
      <w:r>
        <w:rPr>
          <w:szCs w:val="24"/>
          <w:lang w:eastAsia="lt-LT"/>
        </w:rPr>
        <w:tab/>
      </w:r>
      <w:r>
        <w:rPr>
          <w:szCs w:val="24"/>
          <w:lang w:eastAsia="lt-LT"/>
        </w:rPr>
        <w:tab/>
      </w:r>
      <w:r>
        <w:rPr>
          <w:szCs w:val="24"/>
          <w:lang w:eastAsia="lt-LT"/>
        </w:rPr>
        <w:tab/>
      </w:r>
      <w:r>
        <w:rPr>
          <w:szCs w:val="24"/>
          <w:lang w:eastAsia="lt-LT"/>
        </w:rPr>
        <w:tab/>
      </w:r>
      <w:r>
        <w:rPr>
          <w:szCs w:val="24"/>
          <w:lang w:eastAsia="lt-LT"/>
        </w:rPr>
        <w:tab/>
        <w:t>Renatas Pocius</w:t>
      </w:r>
    </w:p>
    <w:p w:rsidR="00F3746C" w:rsidRDefault="00F3746C" w:rsidP="00FE1B19">
      <w:pPr>
        <w:tabs>
          <w:tab w:val="left" w:pos="4962"/>
        </w:tabs>
        <w:suppressAutoHyphens/>
        <w:ind w:left="4695" w:right="-427" w:firstLine="267"/>
        <w:jc w:val="both"/>
        <w:sectPr w:rsidR="00F3746C">
          <w:headerReference w:type="default" r:id="rId8"/>
          <w:footerReference w:type="default" r:id="rId9"/>
          <w:footerReference w:type="first" r:id="rId10"/>
          <w:pgSz w:w="11906" w:h="16838"/>
          <w:pgMar w:top="1134" w:right="567" w:bottom="1134" w:left="1701" w:header="720" w:footer="720" w:gutter="0"/>
          <w:pgNumType w:start="1"/>
          <w:cols w:space="720"/>
          <w:formProt w:val="0"/>
          <w:titlePg/>
          <w:docGrid w:linePitch="326" w:charSpace="12288"/>
        </w:sectPr>
      </w:pPr>
    </w:p>
    <w:p w:rsidR="00124D25" w:rsidRDefault="00FE1B19" w:rsidP="00F3746C">
      <w:pPr>
        <w:tabs>
          <w:tab w:val="left" w:pos="4962"/>
        </w:tabs>
        <w:suppressAutoHyphens/>
        <w:ind w:firstLine="4933"/>
        <w:rPr>
          <w:lang w:eastAsia="lt-LT"/>
        </w:rPr>
      </w:pPr>
      <w:r>
        <w:rPr>
          <w:lang w:eastAsia="lt-LT"/>
        </w:rPr>
        <w:lastRenderedPageBreak/>
        <w:t>Valstybinės energetikos reguliavimo tarybos</w:t>
      </w:r>
    </w:p>
    <w:p w:rsidR="00124D25" w:rsidRDefault="00FE1B19" w:rsidP="00F3746C">
      <w:pPr>
        <w:tabs>
          <w:tab w:val="left" w:pos="4962"/>
        </w:tabs>
        <w:suppressAutoHyphens/>
        <w:ind w:firstLine="4933"/>
        <w:rPr>
          <w:lang w:eastAsia="lt-LT"/>
        </w:rPr>
      </w:pPr>
      <w:r>
        <w:rPr>
          <w:lang w:eastAsia="lt-LT"/>
        </w:rPr>
        <w:t xml:space="preserve">2023 m. lapkričio </w:t>
      </w:r>
      <w:r w:rsidR="00394FFC">
        <w:rPr>
          <w:lang w:eastAsia="lt-LT"/>
        </w:rPr>
        <w:t>16</w:t>
      </w:r>
      <w:r>
        <w:rPr>
          <w:lang w:eastAsia="lt-LT"/>
        </w:rPr>
        <w:t xml:space="preserve"> d.</w:t>
      </w:r>
    </w:p>
    <w:p w:rsidR="00124D25" w:rsidRDefault="00FE1B19" w:rsidP="00F3746C">
      <w:pPr>
        <w:tabs>
          <w:tab w:val="left" w:pos="4962"/>
        </w:tabs>
        <w:suppressAutoHyphens/>
        <w:ind w:firstLine="4933"/>
        <w:rPr>
          <w:lang w:eastAsia="lt-LT"/>
        </w:rPr>
      </w:pPr>
      <w:r>
        <w:rPr>
          <w:lang w:eastAsia="lt-LT"/>
        </w:rPr>
        <w:t xml:space="preserve">nutarimo Nr. </w:t>
      </w:r>
      <w:r w:rsidR="00394FFC" w:rsidRPr="00394FFC">
        <w:rPr>
          <w:bCs/>
        </w:rPr>
        <w:t>O3E-1665</w:t>
      </w:r>
    </w:p>
    <w:p w:rsidR="00124D25" w:rsidRDefault="00FE1B19" w:rsidP="00F3746C">
      <w:pPr>
        <w:tabs>
          <w:tab w:val="left" w:pos="4962"/>
        </w:tabs>
        <w:suppressAutoHyphens/>
        <w:ind w:firstLine="4933"/>
        <w:rPr>
          <w:lang w:eastAsia="lt-LT"/>
        </w:rPr>
      </w:pPr>
      <w:r>
        <w:rPr>
          <w:lang w:eastAsia="lt-LT"/>
        </w:rPr>
        <w:t>priedas</w:t>
      </w:r>
    </w:p>
    <w:p w:rsidR="00124D25" w:rsidRDefault="00124D25" w:rsidP="00F3746C">
      <w:pPr>
        <w:tabs>
          <w:tab w:val="left" w:pos="5387"/>
        </w:tabs>
        <w:suppressAutoHyphens/>
        <w:ind w:firstLine="4933"/>
        <w:rPr>
          <w:b/>
          <w:lang w:eastAsia="lt-LT"/>
        </w:rPr>
      </w:pPr>
    </w:p>
    <w:p w:rsidR="00124D25" w:rsidRDefault="00FE1B19" w:rsidP="00F3746C">
      <w:pPr>
        <w:tabs>
          <w:tab w:val="left" w:pos="4962"/>
        </w:tabs>
        <w:suppressAutoHyphens/>
        <w:ind w:firstLine="4933"/>
        <w:rPr>
          <w:szCs w:val="24"/>
        </w:rPr>
      </w:pPr>
      <w:r>
        <w:rPr>
          <w:szCs w:val="24"/>
        </w:rPr>
        <w:t>PATVIRTINTA</w:t>
      </w:r>
    </w:p>
    <w:p w:rsidR="00124D25" w:rsidRDefault="00FE1B19" w:rsidP="00F3746C">
      <w:pPr>
        <w:tabs>
          <w:tab w:val="left" w:pos="4962"/>
        </w:tabs>
        <w:suppressAutoHyphens/>
        <w:ind w:firstLine="4933"/>
        <w:rPr>
          <w:szCs w:val="24"/>
        </w:rPr>
      </w:pPr>
      <w:r>
        <w:rPr>
          <w:szCs w:val="24"/>
        </w:rPr>
        <w:t>2023 m. spalio 27 d.</w:t>
      </w:r>
    </w:p>
    <w:p w:rsidR="00124D25" w:rsidRDefault="00FE1B19" w:rsidP="00F3746C">
      <w:pPr>
        <w:tabs>
          <w:tab w:val="left" w:pos="4962"/>
        </w:tabs>
        <w:suppressAutoHyphens/>
        <w:ind w:firstLine="4933"/>
        <w:rPr>
          <w:szCs w:val="24"/>
        </w:rPr>
      </w:pPr>
      <w:r>
        <w:rPr>
          <w:szCs w:val="24"/>
        </w:rPr>
        <w:t>AB „Akmenės cementas“</w:t>
      </w:r>
    </w:p>
    <w:p w:rsidR="00124D25" w:rsidRDefault="00FE1B19" w:rsidP="00F3746C">
      <w:pPr>
        <w:tabs>
          <w:tab w:val="left" w:pos="4962"/>
        </w:tabs>
        <w:suppressAutoHyphens/>
        <w:ind w:firstLine="4933"/>
        <w:rPr>
          <w:szCs w:val="24"/>
        </w:rPr>
      </w:pPr>
      <w:r>
        <w:rPr>
          <w:szCs w:val="24"/>
        </w:rPr>
        <w:t>Generalinio direktoriaus</w:t>
      </w:r>
    </w:p>
    <w:p w:rsidR="00124D25" w:rsidRDefault="00FE1B19" w:rsidP="00F3746C">
      <w:pPr>
        <w:tabs>
          <w:tab w:val="left" w:pos="4962"/>
        </w:tabs>
        <w:suppressAutoHyphens/>
        <w:ind w:firstLine="4933"/>
        <w:rPr>
          <w:szCs w:val="24"/>
        </w:rPr>
      </w:pPr>
      <w:r>
        <w:rPr>
          <w:szCs w:val="24"/>
        </w:rPr>
        <w:t>Artūro Zarembos</w:t>
      </w:r>
    </w:p>
    <w:p w:rsidR="00124D25" w:rsidRDefault="00FE1B19" w:rsidP="00F3746C">
      <w:pPr>
        <w:tabs>
          <w:tab w:val="left" w:pos="4962"/>
        </w:tabs>
        <w:suppressAutoHyphens/>
        <w:ind w:firstLine="4933"/>
        <w:rPr>
          <w:szCs w:val="24"/>
        </w:rPr>
      </w:pPr>
      <w:r>
        <w:rPr>
          <w:szCs w:val="24"/>
        </w:rPr>
        <w:t>įsakymu Nr. 66</w:t>
      </w:r>
    </w:p>
    <w:p w:rsidR="00124D25" w:rsidRDefault="00124D25" w:rsidP="00AE7800">
      <w:pPr>
        <w:tabs>
          <w:tab w:val="left" w:pos="5387"/>
          <w:tab w:val="left" w:pos="5954"/>
        </w:tabs>
        <w:suppressAutoHyphens/>
        <w:ind w:firstLine="4876"/>
        <w:rPr>
          <w:szCs w:val="24"/>
        </w:rPr>
      </w:pPr>
    </w:p>
    <w:p w:rsidR="00124D25" w:rsidRDefault="00124D25">
      <w:pPr>
        <w:tabs>
          <w:tab w:val="left" w:pos="5954"/>
        </w:tabs>
        <w:suppressAutoHyphens/>
        <w:rPr>
          <w:szCs w:val="24"/>
        </w:rPr>
      </w:pPr>
    </w:p>
    <w:p w:rsidR="00124D25" w:rsidRDefault="00124D25">
      <w:pPr>
        <w:tabs>
          <w:tab w:val="left" w:pos="5954"/>
        </w:tabs>
        <w:suppressAutoHyphens/>
        <w:ind w:left="5954"/>
        <w:rPr>
          <w:szCs w:val="24"/>
        </w:rPr>
      </w:pPr>
    </w:p>
    <w:p w:rsidR="00124D25" w:rsidRDefault="00FE1B19">
      <w:pPr>
        <w:keepNext/>
        <w:suppressAutoHyphens/>
        <w:jc w:val="center"/>
        <w:outlineLvl w:val="5"/>
        <w:rPr>
          <w:rFonts w:eastAsia="Arial Unicode MS"/>
          <w:b/>
        </w:rPr>
      </w:pPr>
      <w:r>
        <w:rPr>
          <w:rFonts w:eastAsia="Arial Unicode MS"/>
          <w:b/>
        </w:rPr>
        <w:t xml:space="preserve">AB „AKMENĖS CEMENTAS“ PERSIUNTIMO PASLAUGOS KAINOS IR TARIFAI </w:t>
      </w:r>
    </w:p>
    <w:p w:rsidR="00124D25" w:rsidRDefault="00FE1B19">
      <w:pPr>
        <w:keepNext/>
        <w:suppressAutoHyphens/>
        <w:jc w:val="center"/>
        <w:outlineLvl w:val="5"/>
        <w:rPr>
          <w:rFonts w:eastAsia="Arial Unicode MS"/>
          <w:b/>
        </w:rPr>
      </w:pPr>
      <w:r>
        <w:rPr>
          <w:rFonts w:eastAsia="Arial Unicode MS"/>
          <w:b/>
        </w:rPr>
        <w:t>BEI JŲ TAIKYMO TVARKA</w:t>
      </w:r>
    </w:p>
    <w:p w:rsidR="00124D25" w:rsidRDefault="00124D25">
      <w:pPr>
        <w:suppressAutoHyphens/>
        <w:ind w:firstLine="62"/>
        <w:rPr>
          <w:szCs w:val="24"/>
        </w:rPr>
      </w:pPr>
    </w:p>
    <w:p w:rsidR="00124D25" w:rsidRDefault="00124D25">
      <w:pPr>
        <w:suppressAutoHyphens/>
        <w:rPr>
          <w:sz w:val="20"/>
          <w:szCs w:val="24"/>
        </w:rPr>
      </w:pPr>
    </w:p>
    <w:p w:rsidR="00124D25" w:rsidRDefault="00F3746C">
      <w:pPr>
        <w:suppressAutoHyphens/>
        <w:jc w:val="center"/>
        <w:rPr>
          <w:b/>
          <w:szCs w:val="24"/>
        </w:rPr>
      </w:pPr>
      <w:r w:rsidR="00FE1B19">
        <w:rPr>
          <w:b/>
          <w:szCs w:val="24"/>
        </w:rPr>
        <w:t>I</w:t>
      </w:r>
      <w:r w:rsidR="00FE1B19">
        <w:rPr>
          <w:b/>
          <w:szCs w:val="24"/>
        </w:rPr>
        <w:t xml:space="preserve"> SKYRIUS</w:t>
      </w:r>
    </w:p>
    <w:p w:rsidR="00124D25" w:rsidRDefault="00F3746C">
      <w:pPr>
        <w:suppressAutoHyphens/>
        <w:ind w:firstLine="576"/>
        <w:jc w:val="center"/>
        <w:rPr>
          <w:b/>
          <w:szCs w:val="24"/>
        </w:rPr>
      </w:pPr>
      <w:r w:rsidR="00FE1B19">
        <w:rPr>
          <w:b/>
          <w:szCs w:val="24"/>
        </w:rPr>
        <w:t>PERSIUNTIMO PASLAUGŲ KAINŲ TAIKYMAS</w:t>
      </w:r>
    </w:p>
    <w:p w:rsidR="00124D25" w:rsidRDefault="00124D25">
      <w:pPr>
        <w:tabs>
          <w:tab w:val="left" w:pos="1134"/>
        </w:tabs>
        <w:suppressAutoHyphens/>
        <w:ind w:firstLine="720"/>
        <w:rPr>
          <w:b/>
          <w:szCs w:val="24"/>
        </w:rPr>
      </w:pPr>
    </w:p>
    <w:p w:rsidR="00124D25" w:rsidRDefault="00F3746C">
      <w:pPr>
        <w:suppressAutoHyphens/>
        <w:ind w:firstLine="576"/>
        <w:jc w:val="both"/>
        <w:rPr>
          <w:szCs w:val="24"/>
        </w:rPr>
      </w:pPr>
      <w:r w:rsidR="00FE1B19">
        <w:rPr>
          <w:szCs w:val="24"/>
        </w:rPr>
        <w:t>1</w:t>
      </w:r>
      <w:r w:rsidR="00FE1B19">
        <w:rPr>
          <w:szCs w:val="24"/>
        </w:rPr>
        <w:t>. Šia tvarka nuo 2024 m. sausio 1 d. nustatomos elektros energijos persiuntimo paslaugos kainos ir tarifai.</w:t>
      </w:r>
    </w:p>
    <w:p w:rsidR="00124D25" w:rsidRDefault="00F3746C">
      <w:pPr>
        <w:suppressAutoHyphens/>
        <w:jc w:val="center"/>
        <w:rPr>
          <w:b/>
          <w:szCs w:val="24"/>
        </w:rPr>
      </w:pPr>
      <w:r w:rsidR="00FE1B19">
        <w:rPr>
          <w:b/>
          <w:szCs w:val="24"/>
        </w:rPr>
        <w:t>II</w:t>
      </w:r>
      <w:r w:rsidR="00FE1B19">
        <w:rPr>
          <w:b/>
          <w:szCs w:val="24"/>
        </w:rPr>
        <w:t xml:space="preserve"> SKYRIUS</w:t>
      </w:r>
    </w:p>
    <w:p w:rsidR="00124D25" w:rsidRDefault="00F3746C">
      <w:pPr>
        <w:suppressAutoHyphens/>
        <w:spacing w:line="259" w:lineRule="auto"/>
        <w:ind w:left="2592" w:firstLine="1296"/>
        <w:rPr>
          <w:b/>
          <w:szCs w:val="24"/>
        </w:rPr>
      </w:pPr>
      <w:r w:rsidR="00FE1B19">
        <w:rPr>
          <w:b/>
          <w:szCs w:val="24"/>
        </w:rPr>
        <w:t>TARIFŲ RŪŠYS</w:t>
      </w:r>
    </w:p>
    <w:p w:rsidR="00124D25" w:rsidRDefault="00124D25">
      <w:pPr>
        <w:rPr>
          <w:sz w:val="14"/>
          <w:szCs w:val="14"/>
        </w:rPr>
      </w:pPr>
    </w:p>
    <w:p w:rsidR="00124D25" w:rsidRDefault="00124D25">
      <w:pPr>
        <w:tabs>
          <w:tab w:val="left" w:pos="426"/>
        </w:tabs>
        <w:suppressAutoHyphens/>
        <w:jc w:val="both"/>
        <w:rPr>
          <w:b/>
          <w:szCs w:val="24"/>
        </w:rPr>
      </w:pPr>
    </w:p>
    <w:p w:rsidR="00124D25" w:rsidRDefault="00F3746C">
      <w:pPr>
        <w:tabs>
          <w:tab w:val="left" w:pos="426"/>
        </w:tabs>
        <w:suppressAutoHyphens/>
        <w:ind w:left="720"/>
        <w:jc w:val="both"/>
        <w:rPr>
          <w:szCs w:val="24"/>
        </w:rPr>
      </w:pPr>
      <w:r w:rsidR="00FE1B19">
        <w:rPr>
          <w:szCs w:val="24"/>
        </w:rPr>
        <w:t>2</w:t>
      </w:r>
      <w:r w:rsidR="00FE1B19">
        <w:rPr>
          <w:szCs w:val="24"/>
        </w:rPr>
        <w:t>. Persiuntimo paslaugos tarifas diferencijuojamas į galios ir energijos dedamąsias.</w:t>
      </w:r>
    </w:p>
    <w:p w:rsidR="00124D25" w:rsidRDefault="00F3746C">
      <w:pPr>
        <w:tabs>
          <w:tab w:val="left" w:pos="426"/>
        </w:tabs>
        <w:suppressAutoHyphens/>
        <w:ind w:left="720"/>
        <w:jc w:val="both"/>
        <w:rPr>
          <w:szCs w:val="24"/>
        </w:rPr>
      </w:pPr>
      <w:r w:rsidR="00FE1B19">
        <w:rPr>
          <w:szCs w:val="24"/>
        </w:rPr>
        <w:t>2.1</w:t>
      </w:r>
      <w:r w:rsidR="00FE1B19">
        <w:rPr>
          <w:szCs w:val="24"/>
        </w:rPr>
        <w:t>. Galios dedamoji – tai vieno leistino naudoti vartotojui kW mėnesio kaina.</w:t>
      </w:r>
    </w:p>
    <w:p w:rsidR="00124D25" w:rsidRDefault="00F3746C">
      <w:pPr>
        <w:tabs>
          <w:tab w:val="left" w:pos="426"/>
        </w:tabs>
        <w:suppressAutoHyphens/>
        <w:ind w:firstLine="720"/>
        <w:jc w:val="both"/>
        <w:rPr>
          <w:szCs w:val="24"/>
        </w:rPr>
      </w:pPr>
      <w:r w:rsidR="00FE1B19">
        <w:rPr>
          <w:szCs w:val="24"/>
        </w:rPr>
        <w:t>2.2</w:t>
      </w:r>
      <w:r w:rsidR="00FE1B19">
        <w:rPr>
          <w:szCs w:val="24"/>
        </w:rPr>
        <w:t xml:space="preserve">. </w:t>
      </w:r>
      <w:proofErr w:type="spellStart"/>
      <w:r w:rsidR="00FE1B19">
        <w:rPr>
          <w:szCs w:val="24"/>
        </w:rPr>
        <w:t>Leistinoji</w:t>
      </w:r>
      <w:proofErr w:type="spellEnd"/>
      <w:r w:rsidR="00FE1B19">
        <w:rPr>
          <w:szCs w:val="24"/>
        </w:rPr>
        <w:t xml:space="preserve"> naudoti galia – didžiausia galia, kurią vartotojas gali naudoti iš operatoriaus tinklo bet kuriuo metu. Ji nurodoma skirstomųjų tinklų operatoriaus vartotojui išduotame techninių sąlygų apraše, o jį įvykdžius ‒ elektros energijos persiuntimo paslaugos sutartyje.</w:t>
      </w:r>
    </w:p>
    <w:p w:rsidR="00124D25" w:rsidRDefault="00F3746C">
      <w:pPr>
        <w:tabs>
          <w:tab w:val="left" w:pos="426"/>
        </w:tabs>
        <w:suppressAutoHyphens/>
        <w:ind w:firstLine="720"/>
        <w:jc w:val="both"/>
      </w:pPr>
      <w:r w:rsidR="00FE1B19">
        <w:rPr>
          <w:szCs w:val="24"/>
        </w:rPr>
        <w:t>2.3</w:t>
      </w:r>
      <w:r w:rsidR="00FE1B19">
        <w:rPr>
          <w:szCs w:val="24"/>
        </w:rPr>
        <w:t>. Energijos dedamoji – tai vartotojui persiųstos vienos aktyvinės elektros energijos kilovatvalandės (kWh) kaina.</w:t>
      </w:r>
    </w:p>
    <w:p w:rsidR="00124D25" w:rsidRDefault="00F3746C">
      <w:pPr>
        <w:suppressAutoHyphens/>
        <w:ind w:firstLine="425"/>
        <w:jc w:val="both"/>
      </w:pPr>
    </w:p>
    <w:p w:rsidR="00124D25" w:rsidRDefault="00F3746C">
      <w:pPr>
        <w:suppressAutoHyphens/>
        <w:jc w:val="center"/>
        <w:rPr>
          <w:b/>
          <w:szCs w:val="24"/>
        </w:rPr>
      </w:pPr>
      <w:r w:rsidR="00FE1B19">
        <w:rPr>
          <w:b/>
          <w:szCs w:val="24"/>
        </w:rPr>
        <w:t>III</w:t>
      </w:r>
      <w:r w:rsidR="00FE1B19">
        <w:rPr>
          <w:b/>
          <w:szCs w:val="24"/>
        </w:rPr>
        <w:t xml:space="preserve"> SKYRIUS</w:t>
      </w:r>
    </w:p>
    <w:p w:rsidR="00124D25" w:rsidRDefault="00F3746C">
      <w:pPr>
        <w:suppressAutoHyphens/>
        <w:jc w:val="center"/>
        <w:rPr>
          <w:b/>
          <w:szCs w:val="24"/>
        </w:rPr>
      </w:pPr>
      <w:r w:rsidR="00FE1B19">
        <w:rPr>
          <w:b/>
          <w:caps/>
          <w:szCs w:val="24"/>
        </w:rPr>
        <w:t>PERSIUNTIMO paslaugos kainos, PERKANTIEMS ELEKTROS ENERGIJĄ IŠ NEPRIKLAUSOMŲ TIEKĖJŲ</w:t>
      </w:r>
    </w:p>
    <w:p w:rsidR="00124D25" w:rsidRDefault="00124D25">
      <w:pPr>
        <w:tabs>
          <w:tab w:val="left" w:pos="1134"/>
        </w:tabs>
        <w:suppressAutoHyphens/>
        <w:ind w:firstLine="720"/>
        <w:jc w:val="both"/>
        <w:rPr>
          <w:szCs w:val="24"/>
        </w:rPr>
      </w:pPr>
    </w:p>
    <w:p w:rsidR="00124D25" w:rsidRDefault="00F3746C">
      <w:pPr>
        <w:tabs>
          <w:tab w:val="left" w:pos="1134"/>
        </w:tabs>
        <w:suppressAutoHyphens/>
        <w:ind w:firstLine="720"/>
        <w:jc w:val="both"/>
        <w:rPr>
          <w:b/>
          <w:szCs w:val="24"/>
        </w:rPr>
      </w:pPr>
      <w:r w:rsidR="00FE1B19">
        <w:rPr>
          <w:b/>
          <w:szCs w:val="24"/>
        </w:rPr>
        <w:t>3</w:t>
      </w:r>
      <w:r w:rsidR="00FE1B19">
        <w:rPr>
          <w:b/>
          <w:szCs w:val="24"/>
        </w:rPr>
        <w:t>. Pirmos grupės vartotojai</w:t>
      </w:r>
    </w:p>
    <w:p w:rsidR="00124D25" w:rsidRDefault="00FE1B19">
      <w:pPr>
        <w:tabs>
          <w:tab w:val="left" w:pos="1134"/>
        </w:tabs>
        <w:suppressAutoHyphens/>
        <w:ind w:firstLine="720"/>
        <w:jc w:val="both"/>
        <w:rPr>
          <w:szCs w:val="24"/>
        </w:rPr>
      </w:pPr>
      <w:r>
        <w:rPr>
          <w:szCs w:val="24"/>
        </w:rPr>
        <w:t xml:space="preserve">Vartotojai, gaunantys elektros energiją iš 0,4 </w:t>
      </w:r>
      <w:proofErr w:type="spellStart"/>
      <w:r>
        <w:rPr>
          <w:szCs w:val="24"/>
        </w:rPr>
        <w:t>kV</w:t>
      </w:r>
      <w:proofErr w:type="spellEnd"/>
      <w:r>
        <w:rPr>
          <w:szCs w:val="24"/>
        </w:rPr>
        <w:t xml:space="preserve"> įtampos elektros tinklų:</w:t>
      </w:r>
    </w:p>
    <w:tbl>
      <w:tblPr>
        <w:tblW w:w="9616" w:type="dxa"/>
        <w:jc w:val="center"/>
        <w:tblLayout w:type="fixed"/>
        <w:tblCellMar>
          <w:left w:w="30" w:type="dxa"/>
          <w:right w:w="30" w:type="dxa"/>
        </w:tblCellMar>
        <w:tblLook w:val="0000" w:firstRow="0" w:lastRow="0" w:firstColumn="0" w:lastColumn="0" w:noHBand="0" w:noVBand="0"/>
      </w:tblPr>
      <w:tblGrid>
        <w:gridCol w:w="5079"/>
        <w:gridCol w:w="2265"/>
        <w:gridCol w:w="2272"/>
      </w:tblGrid>
      <w:tr w:rsidR="00124D25">
        <w:trPr>
          <w:trHeight w:val="226"/>
          <w:jc w:val="center"/>
        </w:trPr>
        <w:tc>
          <w:tcPr>
            <w:tcW w:w="5079" w:type="dxa"/>
            <w:tcBorders>
              <w:top w:val="double" w:sz="6" w:space="0" w:color="000000"/>
              <w:left w:val="double" w:sz="6" w:space="0" w:color="000000"/>
              <w:right w:val="double" w:sz="6" w:space="0" w:color="000000"/>
            </w:tcBorders>
            <w:shd w:val="clear" w:color="auto" w:fill="auto"/>
            <w:vAlign w:val="center"/>
          </w:tcPr>
          <w:p w:rsidR="00124D25" w:rsidRDefault="00FE1B19">
            <w:pPr>
              <w:keepNext/>
              <w:widowControl w:val="0"/>
              <w:suppressAutoHyphens/>
              <w:jc w:val="center"/>
              <w:outlineLvl w:val="5"/>
              <w:rPr>
                <w:rFonts w:eastAsia="Arial Unicode MS"/>
                <w:sz w:val="22"/>
              </w:rPr>
            </w:pPr>
            <w:r>
              <w:rPr>
                <w:rFonts w:eastAsia="Arial Unicode MS"/>
                <w:sz w:val="22"/>
              </w:rPr>
              <w:t>Tarifo pavadinimas</w:t>
            </w:r>
          </w:p>
        </w:tc>
        <w:tc>
          <w:tcPr>
            <w:tcW w:w="2265" w:type="dxa"/>
            <w:tcBorders>
              <w:top w:val="double" w:sz="6" w:space="0" w:color="000000"/>
              <w:left w:val="double" w:sz="6" w:space="0" w:color="000000"/>
              <w:right w:val="double" w:sz="6" w:space="0" w:color="000000"/>
            </w:tcBorders>
            <w:shd w:val="clear" w:color="auto" w:fill="auto"/>
            <w:vAlign w:val="center"/>
          </w:tcPr>
          <w:p w:rsidR="00124D25" w:rsidRDefault="00FE1B19">
            <w:pPr>
              <w:widowControl w:val="0"/>
              <w:suppressAutoHyphens/>
              <w:jc w:val="center"/>
              <w:rPr>
                <w:sz w:val="20"/>
                <w:szCs w:val="24"/>
              </w:rPr>
            </w:pPr>
            <w:r>
              <w:rPr>
                <w:szCs w:val="24"/>
              </w:rPr>
              <w:t>Matavimo vnt.</w:t>
            </w:r>
          </w:p>
        </w:tc>
        <w:tc>
          <w:tcPr>
            <w:tcW w:w="2272" w:type="dxa"/>
            <w:tcBorders>
              <w:top w:val="double" w:sz="6" w:space="0" w:color="000000"/>
              <w:left w:val="double" w:sz="6" w:space="0" w:color="000000"/>
              <w:bottom w:val="single" w:sz="6" w:space="0" w:color="000000"/>
              <w:right w:val="double" w:sz="6" w:space="0" w:color="000000"/>
            </w:tcBorders>
            <w:shd w:val="clear" w:color="auto" w:fill="auto"/>
          </w:tcPr>
          <w:p w:rsidR="00124D25" w:rsidRDefault="00FE1B19">
            <w:pPr>
              <w:widowControl w:val="0"/>
              <w:suppressAutoHyphens/>
              <w:jc w:val="center"/>
              <w:rPr>
                <w:sz w:val="22"/>
                <w:szCs w:val="24"/>
              </w:rPr>
            </w:pPr>
            <w:r>
              <w:rPr>
                <w:sz w:val="22"/>
                <w:szCs w:val="24"/>
              </w:rPr>
              <w:t xml:space="preserve">Tarifas </w:t>
            </w:r>
          </w:p>
          <w:p w:rsidR="00124D25" w:rsidRDefault="00FE1B19">
            <w:pPr>
              <w:widowControl w:val="0"/>
              <w:suppressAutoHyphens/>
              <w:jc w:val="center"/>
              <w:rPr>
                <w:sz w:val="22"/>
                <w:szCs w:val="24"/>
              </w:rPr>
            </w:pPr>
            <w:r>
              <w:rPr>
                <w:sz w:val="22"/>
                <w:szCs w:val="24"/>
              </w:rPr>
              <w:t>(be PVM)</w:t>
            </w:r>
          </w:p>
        </w:tc>
      </w:tr>
      <w:tr w:rsidR="00124D25">
        <w:trPr>
          <w:cantSplit/>
          <w:trHeight w:val="258"/>
          <w:jc w:val="center"/>
        </w:trPr>
        <w:tc>
          <w:tcPr>
            <w:tcW w:w="9616" w:type="dxa"/>
            <w:gridSpan w:val="3"/>
            <w:tcBorders>
              <w:top w:val="double" w:sz="6" w:space="0" w:color="000000"/>
              <w:left w:val="double" w:sz="6" w:space="0" w:color="000000"/>
              <w:bottom w:val="double" w:sz="6" w:space="0" w:color="000000"/>
              <w:right w:val="double" w:sz="6" w:space="0" w:color="000000"/>
            </w:tcBorders>
            <w:shd w:val="clear" w:color="auto" w:fill="auto"/>
          </w:tcPr>
          <w:p w:rsidR="00124D25" w:rsidRDefault="00FE1B19">
            <w:pPr>
              <w:widowControl w:val="0"/>
              <w:suppressAutoHyphens/>
              <w:rPr>
                <w:b/>
                <w:sz w:val="22"/>
                <w:szCs w:val="24"/>
              </w:rPr>
            </w:pPr>
            <w:r>
              <w:rPr>
                <w:b/>
                <w:sz w:val="22"/>
                <w:szCs w:val="24"/>
              </w:rPr>
              <w:t>1. Galios dedamosios ir energijos dedamosios tarifas:</w:t>
            </w:r>
          </w:p>
        </w:tc>
      </w:tr>
      <w:tr w:rsidR="00124D25">
        <w:trPr>
          <w:cantSplit/>
          <w:trHeight w:val="245"/>
          <w:jc w:val="center"/>
        </w:trPr>
        <w:tc>
          <w:tcPr>
            <w:tcW w:w="5079" w:type="dxa"/>
            <w:tcBorders>
              <w:top w:val="double" w:sz="6" w:space="0" w:color="000000"/>
              <w:left w:val="double" w:sz="6" w:space="0" w:color="000000"/>
              <w:bottom w:val="single" w:sz="2" w:space="0" w:color="000000"/>
              <w:right w:val="double" w:sz="6" w:space="0" w:color="000000"/>
            </w:tcBorders>
            <w:shd w:val="clear" w:color="auto" w:fill="auto"/>
          </w:tcPr>
          <w:p w:rsidR="00124D25" w:rsidRDefault="00FE1B19">
            <w:pPr>
              <w:widowControl w:val="0"/>
              <w:suppressAutoHyphens/>
              <w:rPr>
                <w:sz w:val="22"/>
                <w:szCs w:val="24"/>
              </w:rPr>
            </w:pPr>
            <w:r>
              <w:rPr>
                <w:sz w:val="22"/>
                <w:szCs w:val="24"/>
              </w:rPr>
              <w:t>1.1. Galios dedamoji *</w:t>
            </w:r>
          </w:p>
        </w:tc>
        <w:tc>
          <w:tcPr>
            <w:tcW w:w="2265" w:type="dxa"/>
            <w:tcBorders>
              <w:top w:val="double" w:sz="6" w:space="0" w:color="000000"/>
              <w:left w:val="double" w:sz="6" w:space="0" w:color="000000"/>
              <w:bottom w:val="single" w:sz="2" w:space="0" w:color="000000"/>
              <w:right w:val="double" w:sz="6" w:space="0" w:color="000000"/>
            </w:tcBorders>
            <w:shd w:val="clear" w:color="auto" w:fill="auto"/>
          </w:tcPr>
          <w:p w:rsidR="00124D25" w:rsidRDefault="00FE1B19">
            <w:pPr>
              <w:widowControl w:val="0"/>
              <w:suppressAutoHyphens/>
              <w:jc w:val="center"/>
              <w:rPr>
                <w:b/>
                <w:sz w:val="22"/>
                <w:szCs w:val="24"/>
              </w:rPr>
            </w:pPr>
            <w:proofErr w:type="spellStart"/>
            <w:r>
              <w:rPr>
                <w:sz w:val="22"/>
                <w:szCs w:val="24"/>
              </w:rPr>
              <w:t>Eur</w:t>
            </w:r>
            <w:proofErr w:type="spellEnd"/>
            <w:r>
              <w:rPr>
                <w:sz w:val="22"/>
                <w:szCs w:val="24"/>
              </w:rPr>
              <w:t>/kW/mėn.</w:t>
            </w:r>
          </w:p>
        </w:tc>
        <w:tc>
          <w:tcPr>
            <w:tcW w:w="2272" w:type="dxa"/>
            <w:tcBorders>
              <w:top w:val="double" w:sz="6" w:space="0" w:color="000000"/>
              <w:left w:val="double" w:sz="6" w:space="0" w:color="000000"/>
              <w:bottom w:val="single" w:sz="2" w:space="0" w:color="000000"/>
              <w:right w:val="double" w:sz="6" w:space="0" w:color="000000"/>
            </w:tcBorders>
            <w:shd w:val="clear" w:color="auto" w:fill="auto"/>
          </w:tcPr>
          <w:p w:rsidR="00124D25" w:rsidRDefault="00FE1B19">
            <w:pPr>
              <w:widowControl w:val="0"/>
              <w:suppressAutoHyphens/>
              <w:jc w:val="center"/>
              <w:rPr>
                <w:sz w:val="22"/>
                <w:szCs w:val="24"/>
              </w:rPr>
            </w:pPr>
            <w:r>
              <w:rPr>
                <w:sz w:val="22"/>
                <w:szCs w:val="24"/>
              </w:rPr>
              <w:t>1,2</w:t>
            </w:r>
          </w:p>
        </w:tc>
      </w:tr>
      <w:tr w:rsidR="00124D25">
        <w:trPr>
          <w:cantSplit/>
          <w:trHeight w:val="242"/>
          <w:jc w:val="center"/>
        </w:trPr>
        <w:tc>
          <w:tcPr>
            <w:tcW w:w="5079" w:type="dxa"/>
            <w:tcBorders>
              <w:top w:val="double" w:sz="6" w:space="0" w:color="000000"/>
              <w:left w:val="double" w:sz="6" w:space="0" w:color="000000"/>
              <w:bottom w:val="double" w:sz="6" w:space="0" w:color="000000"/>
              <w:right w:val="double" w:sz="6" w:space="0" w:color="000000"/>
            </w:tcBorders>
            <w:shd w:val="clear" w:color="auto" w:fill="auto"/>
          </w:tcPr>
          <w:p w:rsidR="00124D25" w:rsidRDefault="00FE1B19">
            <w:pPr>
              <w:widowControl w:val="0"/>
              <w:suppressAutoHyphens/>
              <w:rPr>
                <w:sz w:val="22"/>
                <w:szCs w:val="24"/>
              </w:rPr>
            </w:pPr>
            <w:r>
              <w:rPr>
                <w:sz w:val="22"/>
                <w:szCs w:val="24"/>
              </w:rPr>
              <w:t>1.2. Nediferencijuota energijos dedamoji</w:t>
            </w:r>
          </w:p>
        </w:tc>
        <w:tc>
          <w:tcPr>
            <w:tcW w:w="2265" w:type="dxa"/>
            <w:tcBorders>
              <w:top w:val="double" w:sz="6" w:space="0" w:color="000000"/>
              <w:left w:val="double" w:sz="6" w:space="0" w:color="000000"/>
              <w:bottom w:val="double" w:sz="6" w:space="0" w:color="000000"/>
              <w:right w:val="double" w:sz="6" w:space="0" w:color="000000"/>
            </w:tcBorders>
            <w:shd w:val="clear" w:color="auto" w:fill="auto"/>
          </w:tcPr>
          <w:p w:rsidR="00124D25" w:rsidRDefault="00FE1B19">
            <w:pPr>
              <w:widowControl w:val="0"/>
              <w:suppressAutoHyphens/>
              <w:jc w:val="center"/>
              <w:rPr>
                <w:b/>
                <w:sz w:val="22"/>
                <w:szCs w:val="24"/>
              </w:rPr>
            </w:pPr>
            <w:r>
              <w:rPr>
                <w:sz w:val="22"/>
                <w:szCs w:val="24"/>
              </w:rPr>
              <w:t>Euro ct/kWh</w:t>
            </w:r>
          </w:p>
        </w:tc>
        <w:tc>
          <w:tcPr>
            <w:tcW w:w="2272" w:type="dxa"/>
            <w:tcBorders>
              <w:top w:val="double" w:sz="6" w:space="0" w:color="000000"/>
              <w:left w:val="double" w:sz="6" w:space="0" w:color="000000"/>
              <w:bottom w:val="double" w:sz="6" w:space="0" w:color="000000"/>
              <w:right w:val="double" w:sz="6" w:space="0" w:color="000000"/>
            </w:tcBorders>
            <w:shd w:val="clear" w:color="auto" w:fill="auto"/>
          </w:tcPr>
          <w:p w:rsidR="00124D25" w:rsidRDefault="00FE1B19">
            <w:pPr>
              <w:widowControl w:val="0"/>
              <w:suppressAutoHyphens/>
              <w:jc w:val="center"/>
              <w:rPr>
                <w:rFonts w:eastAsia="Arial Unicode MS"/>
                <w:sz w:val="22"/>
                <w:szCs w:val="24"/>
              </w:rPr>
            </w:pPr>
            <w:r>
              <w:rPr>
                <w:rFonts w:eastAsia="Arial Unicode MS"/>
                <w:sz w:val="22"/>
                <w:szCs w:val="24"/>
              </w:rPr>
              <w:t>5,7</w:t>
            </w:r>
          </w:p>
        </w:tc>
      </w:tr>
    </w:tbl>
    <w:p w:rsidR="00124D25" w:rsidRDefault="00F3746C"/>
    <w:p w:rsidR="00124D25" w:rsidRDefault="00F3746C">
      <w:pPr>
        <w:suppressAutoHyphens/>
        <w:jc w:val="both"/>
        <w:rPr>
          <w:b/>
        </w:rPr>
      </w:pPr>
      <w:r w:rsidR="00FE1B19">
        <w:rPr>
          <w:b/>
          <w:sz w:val="22"/>
        </w:rPr>
        <w:t xml:space="preserve">* </w:t>
      </w:r>
      <w:r w:rsidR="00FE1B19">
        <w:rPr>
          <w:b/>
        </w:rPr>
        <w:t>vieno vartotojui leistino naudoti kW mėnesio kaina.</w:t>
      </w:r>
    </w:p>
    <w:p w:rsidR="00124D25" w:rsidRDefault="00124D25">
      <w:pPr>
        <w:suppressAutoHyphens/>
        <w:ind w:firstLine="720"/>
        <w:jc w:val="both"/>
        <w:rPr>
          <w:b/>
        </w:rPr>
      </w:pPr>
    </w:p>
    <w:p w:rsidR="00124D25" w:rsidRDefault="00F3746C">
      <w:pPr>
        <w:suppressAutoHyphens/>
        <w:ind w:firstLine="720"/>
        <w:jc w:val="both"/>
        <w:rPr>
          <w:b/>
        </w:rPr>
      </w:pPr>
      <w:r w:rsidR="00FE1B19">
        <w:rPr>
          <w:b/>
        </w:rPr>
        <w:t>4</w:t>
      </w:r>
      <w:r w:rsidR="00FE1B19">
        <w:rPr>
          <w:b/>
        </w:rPr>
        <w:t>. Antros grupės vartotojai</w:t>
      </w:r>
    </w:p>
    <w:p w:rsidR="00124D25" w:rsidRDefault="00FE1B19">
      <w:pPr>
        <w:suppressAutoHyphens/>
        <w:ind w:firstLine="720"/>
        <w:jc w:val="both"/>
      </w:pPr>
      <w:r>
        <w:t xml:space="preserve">Vartotojai, gaunantys elektros energiją iš 6 </w:t>
      </w:r>
      <w:proofErr w:type="spellStart"/>
      <w:r>
        <w:t>kV</w:t>
      </w:r>
      <w:proofErr w:type="spellEnd"/>
      <w:r>
        <w:t xml:space="preserve"> įtampos elektros tinklų:</w:t>
      </w:r>
    </w:p>
    <w:tbl>
      <w:tblPr>
        <w:tblW w:w="9616" w:type="dxa"/>
        <w:jc w:val="center"/>
        <w:tblLayout w:type="fixed"/>
        <w:tblCellMar>
          <w:left w:w="30" w:type="dxa"/>
          <w:right w:w="30" w:type="dxa"/>
        </w:tblCellMar>
        <w:tblLook w:val="0000" w:firstRow="0" w:lastRow="0" w:firstColumn="0" w:lastColumn="0" w:noHBand="0" w:noVBand="0"/>
      </w:tblPr>
      <w:tblGrid>
        <w:gridCol w:w="5084"/>
        <w:gridCol w:w="2266"/>
        <w:gridCol w:w="2266"/>
      </w:tblGrid>
      <w:tr w:rsidR="00124D25">
        <w:trPr>
          <w:trHeight w:val="226"/>
          <w:jc w:val="center"/>
        </w:trPr>
        <w:tc>
          <w:tcPr>
            <w:tcW w:w="5084" w:type="dxa"/>
            <w:tcBorders>
              <w:top w:val="double" w:sz="6" w:space="0" w:color="000000"/>
              <w:left w:val="double" w:sz="6" w:space="0" w:color="000000"/>
              <w:right w:val="double" w:sz="6" w:space="0" w:color="000000"/>
            </w:tcBorders>
            <w:shd w:val="clear" w:color="auto" w:fill="auto"/>
            <w:vAlign w:val="center"/>
          </w:tcPr>
          <w:p w:rsidR="00124D25" w:rsidRDefault="00FE1B19">
            <w:pPr>
              <w:keepNext/>
              <w:widowControl w:val="0"/>
              <w:suppressAutoHyphens/>
              <w:jc w:val="center"/>
              <w:outlineLvl w:val="5"/>
              <w:rPr>
                <w:rFonts w:eastAsia="Arial Unicode MS"/>
                <w:sz w:val="22"/>
              </w:rPr>
            </w:pPr>
            <w:r>
              <w:rPr>
                <w:rFonts w:eastAsia="Arial Unicode MS"/>
                <w:sz w:val="22"/>
              </w:rPr>
              <w:lastRenderedPageBreak/>
              <w:t>Tarifo pavadinimas</w:t>
            </w:r>
          </w:p>
        </w:tc>
        <w:tc>
          <w:tcPr>
            <w:tcW w:w="2266" w:type="dxa"/>
            <w:tcBorders>
              <w:top w:val="double" w:sz="6" w:space="0" w:color="000000"/>
              <w:left w:val="double" w:sz="6" w:space="0" w:color="000000"/>
              <w:right w:val="double" w:sz="6" w:space="0" w:color="000000"/>
            </w:tcBorders>
            <w:shd w:val="clear" w:color="auto" w:fill="auto"/>
            <w:vAlign w:val="center"/>
          </w:tcPr>
          <w:p w:rsidR="00124D25" w:rsidRDefault="00FE1B19">
            <w:pPr>
              <w:widowControl w:val="0"/>
              <w:suppressAutoHyphens/>
              <w:jc w:val="center"/>
              <w:rPr>
                <w:sz w:val="20"/>
                <w:szCs w:val="24"/>
              </w:rPr>
            </w:pPr>
            <w:r>
              <w:rPr>
                <w:szCs w:val="24"/>
              </w:rPr>
              <w:t>Matavimo vnt.</w:t>
            </w:r>
          </w:p>
        </w:tc>
        <w:tc>
          <w:tcPr>
            <w:tcW w:w="2266" w:type="dxa"/>
            <w:tcBorders>
              <w:top w:val="double" w:sz="6" w:space="0" w:color="000000"/>
              <w:left w:val="double" w:sz="6" w:space="0" w:color="000000"/>
              <w:bottom w:val="single" w:sz="6" w:space="0" w:color="000000"/>
              <w:right w:val="double" w:sz="6" w:space="0" w:color="000000"/>
            </w:tcBorders>
            <w:shd w:val="clear" w:color="auto" w:fill="auto"/>
          </w:tcPr>
          <w:p w:rsidR="00124D25" w:rsidRDefault="00FE1B19">
            <w:pPr>
              <w:widowControl w:val="0"/>
              <w:suppressAutoHyphens/>
              <w:jc w:val="center"/>
              <w:rPr>
                <w:sz w:val="22"/>
                <w:szCs w:val="24"/>
              </w:rPr>
            </w:pPr>
            <w:r>
              <w:rPr>
                <w:sz w:val="22"/>
                <w:szCs w:val="24"/>
              </w:rPr>
              <w:t xml:space="preserve">Tarifas </w:t>
            </w:r>
          </w:p>
          <w:p w:rsidR="00124D25" w:rsidRDefault="00FE1B19">
            <w:pPr>
              <w:widowControl w:val="0"/>
              <w:suppressAutoHyphens/>
              <w:jc w:val="center"/>
              <w:rPr>
                <w:sz w:val="22"/>
                <w:szCs w:val="24"/>
              </w:rPr>
            </w:pPr>
            <w:r>
              <w:rPr>
                <w:sz w:val="22"/>
                <w:szCs w:val="24"/>
              </w:rPr>
              <w:t>(be PVM)</w:t>
            </w:r>
          </w:p>
        </w:tc>
      </w:tr>
      <w:tr w:rsidR="00124D25">
        <w:trPr>
          <w:cantSplit/>
          <w:trHeight w:val="258"/>
          <w:jc w:val="center"/>
        </w:trPr>
        <w:tc>
          <w:tcPr>
            <w:tcW w:w="9616" w:type="dxa"/>
            <w:gridSpan w:val="3"/>
            <w:tcBorders>
              <w:top w:val="double" w:sz="6" w:space="0" w:color="000000"/>
              <w:left w:val="double" w:sz="6" w:space="0" w:color="000000"/>
              <w:bottom w:val="double" w:sz="6" w:space="0" w:color="000000"/>
              <w:right w:val="double" w:sz="6" w:space="0" w:color="000000"/>
            </w:tcBorders>
            <w:shd w:val="clear" w:color="auto" w:fill="auto"/>
          </w:tcPr>
          <w:p w:rsidR="00124D25" w:rsidRDefault="00FE1B19">
            <w:pPr>
              <w:widowControl w:val="0"/>
              <w:suppressAutoHyphens/>
              <w:rPr>
                <w:b/>
                <w:sz w:val="22"/>
                <w:szCs w:val="24"/>
              </w:rPr>
            </w:pPr>
            <w:r>
              <w:rPr>
                <w:b/>
                <w:sz w:val="22"/>
                <w:szCs w:val="24"/>
              </w:rPr>
              <w:t>1. Galios dedamosios ir energijos dedamosios tarifas:</w:t>
            </w:r>
          </w:p>
        </w:tc>
      </w:tr>
      <w:tr w:rsidR="00124D25">
        <w:trPr>
          <w:cantSplit/>
          <w:trHeight w:val="245"/>
          <w:jc w:val="center"/>
        </w:trPr>
        <w:tc>
          <w:tcPr>
            <w:tcW w:w="5084" w:type="dxa"/>
            <w:tcBorders>
              <w:top w:val="double" w:sz="6" w:space="0" w:color="000000"/>
              <w:left w:val="double" w:sz="6" w:space="0" w:color="000000"/>
              <w:bottom w:val="single" w:sz="2" w:space="0" w:color="000000"/>
              <w:right w:val="double" w:sz="6" w:space="0" w:color="000000"/>
            </w:tcBorders>
            <w:shd w:val="clear" w:color="auto" w:fill="auto"/>
          </w:tcPr>
          <w:p w:rsidR="00124D25" w:rsidRDefault="00FE1B19">
            <w:pPr>
              <w:widowControl w:val="0"/>
              <w:suppressAutoHyphens/>
              <w:rPr>
                <w:sz w:val="22"/>
                <w:szCs w:val="24"/>
              </w:rPr>
            </w:pPr>
            <w:r>
              <w:rPr>
                <w:sz w:val="22"/>
                <w:szCs w:val="24"/>
              </w:rPr>
              <w:t>1.1. Galios dedamoji *</w:t>
            </w:r>
          </w:p>
        </w:tc>
        <w:tc>
          <w:tcPr>
            <w:tcW w:w="2266" w:type="dxa"/>
            <w:tcBorders>
              <w:top w:val="double" w:sz="6" w:space="0" w:color="000000"/>
              <w:left w:val="double" w:sz="6" w:space="0" w:color="000000"/>
              <w:bottom w:val="single" w:sz="2" w:space="0" w:color="000000"/>
              <w:right w:val="double" w:sz="6" w:space="0" w:color="000000"/>
            </w:tcBorders>
            <w:shd w:val="clear" w:color="auto" w:fill="auto"/>
          </w:tcPr>
          <w:p w:rsidR="00124D25" w:rsidRDefault="00FE1B19">
            <w:pPr>
              <w:widowControl w:val="0"/>
              <w:suppressAutoHyphens/>
              <w:jc w:val="center"/>
              <w:rPr>
                <w:b/>
                <w:sz w:val="22"/>
                <w:szCs w:val="24"/>
              </w:rPr>
            </w:pPr>
            <w:proofErr w:type="spellStart"/>
            <w:r>
              <w:rPr>
                <w:sz w:val="22"/>
                <w:szCs w:val="24"/>
              </w:rPr>
              <w:t>Eur</w:t>
            </w:r>
            <w:proofErr w:type="spellEnd"/>
            <w:r>
              <w:rPr>
                <w:sz w:val="22"/>
                <w:szCs w:val="24"/>
              </w:rPr>
              <w:t>/kW/mėn.</w:t>
            </w:r>
          </w:p>
        </w:tc>
        <w:tc>
          <w:tcPr>
            <w:tcW w:w="2266" w:type="dxa"/>
            <w:tcBorders>
              <w:top w:val="double" w:sz="6" w:space="0" w:color="000000"/>
              <w:left w:val="double" w:sz="6" w:space="0" w:color="000000"/>
              <w:bottom w:val="single" w:sz="2" w:space="0" w:color="000000"/>
              <w:right w:val="double" w:sz="6" w:space="0" w:color="000000"/>
            </w:tcBorders>
            <w:shd w:val="clear" w:color="auto" w:fill="auto"/>
          </w:tcPr>
          <w:p w:rsidR="00124D25" w:rsidRDefault="00FE1B19">
            <w:pPr>
              <w:widowControl w:val="0"/>
              <w:suppressAutoHyphens/>
              <w:jc w:val="center"/>
              <w:rPr>
                <w:sz w:val="22"/>
                <w:szCs w:val="24"/>
              </w:rPr>
            </w:pPr>
            <w:r>
              <w:rPr>
                <w:sz w:val="22"/>
                <w:szCs w:val="24"/>
              </w:rPr>
              <w:t>1,2</w:t>
            </w:r>
          </w:p>
        </w:tc>
      </w:tr>
      <w:tr w:rsidR="00124D25">
        <w:trPr>
          <w:cantSplit/>
          <w:trHeight w:val="242"/>
          <w:jc w:val="center"/>
        </w:trPr>
        <w:tc>
          <w:tcPr>
            <w:tcW w:w="5084" w:type="dxa"/>
            <w:tcBorders>
              <w:top w:val="double" w:sz="6" w:space="0" w:color="000000"/>
              <w:left w:val="double" w:sz="6" w:space="0" w:color="000000"/>
              <w:bottom w:val="double" w:sz="6" w:space="0" w:color="000000"/>
              <w:right w:val="double" w:sz="6" w:space="0" w:color="000000"/>
            </w:tcBorders>
            <w:shd w:val="clear" w:color="auto" w:fill="auto"/>
          </w:tcPr>
          <w:p w:rsidR="00124D25" w:rsidRDefault="00FE1B19">
            <w:pPr>
              <w:widowControl w:val="0"/>
              <w:suppressAutoHyphens/>
              <w:rPr>
                <w:sz w:val="22"/>
                <w:szCs w:val="24"/>
              </w:rPr>
            </w:pPr>
            <w:r>
              <w:rPr>
                <w:sz w:val="22"/>
                <w:szCs w:val="24"/>
              </w:rPr>
              <w:t>1.2. Nediferencijuota energijos dedamoji</w:t>
            </w:r>
          </w:p>
        </w:tc>
        <w:tc>
          <w:tcPr>
            <w:tcW w:w="2266" w:type="dxa"/>
            <w:tcBorders>
              <w:top w:val="double" w:sz="6" w:space="0" w:color="000000"/>
              <w:left w:val="double" w:sz="6" w:space="0" w:color="000000"/>
              <w:bottom w:val="double" w:sz="6" w:space="0" w:color="000000"/>
              <w:right w:val="double" w:sz="6" w:space="0" w:color="000000"/>
            </w:tcBorders>
            <w:shd w:val="clear" w:color="auto" w:fill="auto"/>
          </w:tcPr>
          <w:p w:rsidR="00124D25" w:rsidRDefault="00FE1B19">
            <w:pPr>
              <w:widowControl w:val="0"/>
              <w:suppressAutoHyphens/>
              <w:jc w:val="center"/>
              <w:rPr>
                <w:b/>
                <w:sz w:val="22"/>
                <w:szCs w:val="24"/>
              </w:rPr>
            </w:pPr>
            <w:r>
              <w:rPr>
                <w:sz w:val="22"/>
                <w:szCs w:val="24"/>
              </w:rPr>
              <w:t>Euro ct/kWh</w:t>
            </w:r>
          </w:p>
        </w:tc>
        <w:tc>
          <w:tcPr>
            <w:tcW w:w="2266" w:type="dxa"/>
            <w:tcBorders>
              <w:top w:val="double" w:sz="6" w:space="0" w:color="000000"/>
              <w:left w:val="double" w:sz="6" w:space="0" w:color="000000"/>
              <w:bottom w:val="double" w:sz="6" w:space="0" w:color="000000"/>
              <w:right w:val="double" w:sz="6" w:space="0" w:color="000000"/>
            </w:tcBorders>
            <w:shd w:val="clear" w:color="auto" w:fill="auto"/>
          </w:tcPr>
          <w:p w:rsidR="00124D25" w:rsidRDefault="00FE1B19">
            <w:pPr>
              <w:widowControl w:val="0"/>
              <w:suppressAutoHyphens/>
              <w:jc w:val="center"/>
              <w:rPr>
                <w:rFonts w:eastAsia="Arial Unicode MS"/>
                <w:sz w:val="22"/>
                <w:szCs w:val="24"/>
              </w:rPr>
            </w:pPr>
            <w:r>
              <w:rPr>
                <w:rFonts w:eastAsia="Arial Unicode MS"/>
                <w:sz w:val="22"/>
                <w:szCs w:val="24"/>
              </w:rPr>
              <w:t>3,7</w:t>
            </w:r>
          </w:p>
        </w:tc>
      </w:tr>
    </w:tbl>
    <w:p w:rsidR="00124D25" w:rsidRDefault="00F3746C"/>
    <w:p w:rsidR="00124D25" w:rsidRDefault="00F3746C">
      <w:pPr>
        <w:suppressAutoHyphens/>
        <w:jc w:val="both"/>
        <w:rPr>
          <w:b/>
        </w:rPr>
      </w:pPr>
      <w:r w:rsidR="00FE1B19">
        <w:rPr>
          <w:b/>
          <w:sz w:val="22"/>
        </w:rPr>
        <w:t xml:space="preserve">* </w:t>
      </w:r>
      <w:r w:rsidR="00FE1B19">
        <w:rPr>
          <w:b/>
        </w:rPr>
        <w:t>vieno vartotojui leistino naudoti kW mėnesio kaina.</w:t>
      </w:r>
    </w:p>
    <w:p w:rsidR="00124D25" w:rsidRDefault="00F3746C">
      <w:pPr>
        <w:suppressAutoHyphens/>
        <w:ind w:firstLine="720"/>
        <w:jc w:val="center"/>
        <w:rPr>
          <w:b/>
          <w:szCs w:val="24"/>
        </w:rPr>
      </w:pPr>
    </w:p>
    <w:p w:rsidR="00124D25" w:rsidRDefault="00F3746C">
      <w:pPr>
        <w:suppressAutoHyphens/>
        <w:jc w:val="center"/>
        <w:rPr>
          <w:b/>
          <w:szCs w:val="24"/>
        </w:rPr>
      </w:pPr>
      <w:r w:rsidR="00FE1B19">
        <w:rPr>
          <w:b/>
          <w:szCs w:val="24"/>
        </w:rPr>
        <w:t>IV</w:t>
      </w:r>
      <w:r w:rsidR="00FE1B19">
        <w:rPr>
          <w:b/>
          <w:szCs w:val="24"/>
        </w:rPr>
        <w:t xml:space="preserve"> SKYRIUS</w:t>
      </w:r>
    </w:p>
    <w:p w:rsidR="00124D25" w:rsidRDefault="00F3746C">
      <w:pPr>
        <w:suppressAutoHyphens/>
        <w:jc w:val="center"/>
        <w:rPr>
          <w:b/>
          <w:szCs w:val="24"/>
        </w:rPr>
      </w:pPr>
      <w:r w:rsidR="00FE1B19">
        <w:rPr>
          <w:b/>
          <w:szCs w:val="24"/>
        </w:rPr>
        <w:t>PERSIUNTIMO PASLAUGOS TARIFŲ TAIKYMAS</w:t>
      </w:r>
    </w:p>
    <w:p w:rsidR="00124D25" w:rsidRDefault="00124D25">
      <w:pPr>
        <w:suppressAutoHyphens/>
        <w:ind w:firstLine="709"/>
        <w:jc w:val="both"/>
        <w:rPr>
          <w:szCs w:val="24"/>
        </w:rPr>
      </w:pPr>
    </w:p>
    <w:p w:rsidR="00124D25" w:rsidRDefault="00F3746C">
      <w:pPr>
        <w:suppressAutoHyphens/>
        <w:ind w:firstLine="720"/>
        <w:jc w:val="both"/>
        <w:rPr>
          <w:szCs w:val="24"/>
        </w:rPr>
      </w:pPr>
      <w:r w:rsidR="00FE1B19">
        <w:rPr>
          <w:szCs w:val="24"/>
        </w:rPr>
        <w:t>5</w:t>
      </w:r>
      <w:r w:rsidR="00FE1B19">
        <w:rPr>
          <w:szCs w:val="24"/>
        </w:rPr>
        <w:t>. AB „Akmenės cementas“ persiuntimo paslaugą teikia įmonėms, esančioms skirstymo paslaugų teikimo teritorijoje, kuri apibrėžta 2002-09-10 išduotoje elektros energijos skirstymo licencijoje Nr. ES-5.</w:t>
      </w:r>
    </w:p>
    <w:p w:rsidR="00124D25" w:rsidRDefault="00F3746C">
      <w:pPr>
        <w:suppressAutoHyphens/>
        <w:ind w:firstLine="720"/>
        <w:jc w:val="both"/>
        <w:rPr>
          <w:szCs w:val="24"/>
        </w:rPr>
      </w:pPr>
      <w:r w:rsidR="00FE1B19">
        <w:rPr>
          <w:szCs w:val="24"/>
        </w:rPr>
        <w:t>6</w:t>
      </w:r>
      <w:r w:rsidR="00FE1B19">
        <w:rPr>
          <w:szCs w:val="24"/>
        </w:rPr>
        <w:t>. Vartotojai, kurių įrenginiai prijungti prie skirstomojo tinklo ir kurie elektros energiją perka iš nepriklausomo tiekėjo, atsiskaitydami su skirstomųjų tinklų operatoriumi už elektros energijos persiuntimo paslaugą skirstomaisiais ir perdavimo tinklais moka kainą, nustatytą šios tvarkos III skyriuje.</w:t>
      </w:r>
    </w:p>
    <w:p w:rsidR="00124D25" w:rsidRDefault="00F3746C">
      <w:pPr>
        <w:suppressAutoHyphens/>
        <w:ind w:firstLine="720"/>
        <w:jc w:val="both"/>
        <w:rPr>
          <w:szCs w:val="24"/>
        </w:rPr>
      </w:pPr>
      <w:r w:rsidR="00FE1B19">
        <w:rPr>
          <w:szCs w:val="24"/>
        </w:rPr>
        <w:t>7</w:t>
      </w:r>
      <w:r w:rsidR="00FE1B19">
        <w:rPr>
          <w:szCs w:val="24"/>
        </w:rPr>
        <w:t>. Vartotojai nepasirinkę nepriklausomo tiekėjo, už elektros energiją atsiskaito kaina, kurią sudaro elektros energijos persiuntimo paslaugos kaina ir Lietuvos Respublikos elektros energetikos įstatymo 44 straipsnio 2 dalies 3 punktu nustatyta garantinio elektros energijos tiekimo kaina, kuri apskaičiuojama vidutinei praėjusio ataskaitinio mėnesio elektros energijos biržos kainai, susiformavusiai Lietuvos kainų zonoje, pritaikius koeficientą 1,25.</w:t>
      </w:r>
    </w:p>
    <w:p w:rsidR="00124D25" w:rsidRDefault="00F3746C">
      <w:pPr>
        <w:suppressAutoHyphens/>
        <w:ind w:firstLine="720"/>
        <w:jc w:val="both"/>
        <w:rPr>
          <w:szCs w:val="24"/>
        </w:rPr>
      </w:pPr>
      <w:r w:rsidR="00FE1B19">
        <w:rPr>
          <w:szCs w:val="24"/>
        </w:rPr>
        <w:t>8</w:t>
      </w:r>
      <w:r w:rsidR="00FE1B19">
        <w:rPr>
          <w:szCs w:val="24"/>
        </w:rPr>
        <w:t>. Kai apskaitos prietaiso įrengimo vieta nesutampa su elektros tinklo nuosavybės riba, nesutampančiai tinklo daliai pagal tarpusavyje suderintą ir Tiekėjo patvirtintą metodiką papildomai apskaičiuojami elektros energijos nuostoliai (kWh), kuriuos sumoka tos tinklo dalies savininkas.</w:t>
      </w:r>
    </w:p>
    <w:p w:rsidR="00124D25" w:rsidRDefault="00F3746C">
      <w:pPr>
        <w:suppressAutoHyphens/>
        <w:ind w:firstLine="720"/>
        <w:jc w:val="both"/>
        <w:rPr>
          <w:szCs w:val="24"/>
        </w:rPr>
      </w:pPr>
      <w:r w:rsidR="00FE1B19">
        <w:rPr>
          <w:szCs w:val="24"/>
        </w:rPr>
        <w:t>9</w:t>
      </w:r>
      <w:r w:rsidR="00FE1B19">
        <w:rPr>
          <w:szCs w:val="24"/>
        </w:rPr>
        <w:t xml:space="preserve">. Vartotojui viršijus </w:t>
      </w:r>
      <w:proofErr w:type="spellStart"/>
      <w:r w:rsidR="00FE1B19">
        <w:rPr>
          <w:szCs w:val="24"/>
        </w:rPr>
        <w:t>leistinąją</w:t>
      </w:r>
      <w:proofErr w:type="spellEnd"/>
      <w:r w:rsidR="00FE1B19">
        <w:rPr>
          <w:szCs w:val="24"/>
        </w:rPr>
        <w:t xml:space="preserve"> naudoti galią, pagal Elektros energijos tiekimo ir naudojimo taisykles, patvirtintas Lietuvos Respublikos energetikos ministro, vartotojas papildomai sumoka už viršytą </w:t>
      </w:r>
      <w:proofErr w:type="spellStart"/>
      <w:r w:rsidR="00FE1B19">
        <w:rPr>
          <w:szCs w:val="24"/>
        </w:rPr>
        <w:t>leistinąją</w:t>
      </w:r>
      <w:proofErr w:type="spellEnd"/>
      <w:r w:rsidR="00FE1B19">
        <w:rPr>
          <w:szCs w:val="24"/>
        </w:rPr>
        <w:t xml:space="preserve"> naudoti galią dvigubą galios dedamosios kainą.</w:t>
      </w:r>
    </w:p>
    <w:p w:rsidR="00124D25" w:rsidRDefault="00F3746C">
      <w:pPr>
        <w:suppressAutoHyphens/>
        <w:ind w:firstLine="720"/>
        <w:jc w:val="both"/>
        <w:rPr>
          <w:szCs w:val="24"/>
        </w:rPr>
      </w:pPr>
      <w:r w:rsidR="00FE1B19">
        <w:rPr>
          <w:szCs w:val="24"/>
        </w:rPr>
        <w:t>10</w:t>
      </w:r>
      <w:r w:rsidR="00FE1B19">
        <w:rPr>
          <w:szCs w:val="24"/>
        </w:rPr>
        <w:t xml:space="preserve">. Vartotojui pageidaujant didinti </w:t>
      </w:r>
      <w:proofErr w:type="spellStart"/>
      <w:r w:rsidR="00FE1B19">
        <w:rPr>
          <w:szCs w:val="24"/>
        </w:rPr>
        <w:t>leistinąją</w:t>
      </w:r>
      <w:proofErr w:type="spellEnd"/>
      <w:r w:rsidR="00FE1B19">
        <w:rPr>
          <w:szCs w:val="24"/>
        </w:rPr>
        <w:t xml:space="preserve"> naudoti galią, </w:t>
      </w:r>
      <w:proofErr w:type="spellStart"/>
      <w:r w:rsidR="00FE1B19">
        <w:rPr>
          <w:szCs w:val="24"/>
        </w:rPr>
        <w:t>leistinoji</w:t>
      </w:r>
      <w:proofErr w:type="spellEnd"/>
      <w:r w:rsidR="00FE1B19">
        <w:rPr>
          <w:szCs w:val="24"/>
        </w:rPr>
        <w:t xml:space="preserve"> naudoti galia didinama vadovaujantis Elektros energijos vartotojų, gamintojų energetikos objektų (tinklų, įrengimų, sistemų)</w:t>
      </w:r>
    </w:p>
    <w:p w:rsidR="00124D25" w:rsidRDefault="00FE1B19">
      <w:pPr>
        <w:suppressAutoHyphens/>
        <w:jc w:val="both"/>
        <w:rPr>
          <w:szCs w:val="24"/>
        </w:rPr>
      </w:pPr>
      <w:r>
        <w:rPr>
          <w:szCs w:val="24"/>
        </w:rPr>
        <w:t>prijungimo prie veikiančių energetikos įmonių objektų (tinklų, įrenginių, sistemų) tvarkos ir sąlygų aprašu, patvirtintu Lietuvos Respublikos energetikos ministro.</w:t>
      </w:r>
    </w:p>
    <w:p w:rsidR="00124D25" w:rsidRDefault="00F3746C">
      <w:pPr>
        <w:suppressAutoHyphens/>
        <w:ind w:firstLine="720"/>
        <w:jc w:val="both"/>
        <w:rPr>
          <w:szCs w:val="24"/>
        </w:rPr>
      </w:pPr>
      <w:r w:rsidR="00FE1B19">
        <w:rPr>
          <w:szCs w:val="24"/>
        </w:rPr>
        <w:t>11</w:t>
      </w:r>
      <w:r w:rsidR="00FE1B19">
        <w:rPr>
          <w:szCs w:val="24"/>
        </w:rPr>
        <w:t xml:space="preserve">. Vartotojui sumažinus ar padidinus </w:t>
      </w:r>
      <w:proofErr w:type="spellStart"/>
      <w:r w:rsidR="00FE1B19">
        <w:rPr>
          <w:szCs w:val="24"/>
        </w:rPr>
        <w:t>leistinąją</w:t>
      </w:r>
      <w:proofErr w:type="spellEnd"/>
      <w:r w:rsidR="00FE1B19">
        <w:rPr>
          <w:szCs w:val="24"/>
        </w:rPr>
        <w:t xml:space="preserve"> naudoti galią, galios dedamoji pagal naują </w:t>
      </w:r>
      <w:proofErr w:type="spellStart"/>
      <w:r w:rsidR="00FE1B19">
        <w:rPr>
          <w:szCs w:val="24"/>
        </w:rPr>
        <w:t>leistinąją</w:t>
      </w:r>
      <w:proofErr w:type="spellEnd"/>
      <w:r w:rsidR="00FE1B19">
        <w:rPr>
          <w:szCs w:val="24"/>
        </w:rPr>
        <w:t xml:space="preserve"> galią pradedama skaičiuoti nuo kito ataskaitinio mėnesio po sutarties pakeitimo.</w:t>
      </w:r>
    </w:p>
    <w:p w:rsidR="00124D25" w:rsidRDefault="00F3746C">
      <w:pPr>
        <w:suppressAutoHyphens/>
        <w:ind w:firstLine="720"/>
        <w:jc w:val="both"/>
        <w:rPr>
          <w:szCs w:val="24"/>
        </w:rPr>
      </w:pPr>
      <w:r w:rsidR="00FE1B19">
        <w:rPr>
          <w:szCs w:val="24"/>
        </w:rPr>
        <w:t>12</w:t>
      </w:r>
      <w:r w:rsidR="00FE1B19">
        <w:rPr>
          <w:szCs w:val="24"/>
        </w:rPr>
        <w:t xml:space="preserve">. Vartotojai, kurių elektros įrenginių </w:t>
      </w:r>
      <w:proofErr w:type="spellStart"/>
      <w:r w:rsidR="00FE1B19">
        <w:rPr>
          <w:szCs w:val="24"/>
        </w:rPr>
        <w:t>leistinoji</w:t>
      </w:r>
      <w:proofErr w:type="spellEnd"/>
      <w:r w:rsidR="00FE1B19">
        <w:rPr>
          <w:szCs w:val="24"/>
        </w:rPr>
        <w:t xml:space="preserve"> naudoti galia sudaro 30 kW ir daugiau, už reaktyvinės elektros energijos generavimą į tiekėjų tinklus moka – 1 ct/</w:t>
      </w:r>
      <w:proofErr w:type="spellStart"/>
      <w:r w:rsidR="00FE1B19">
        <w:rPr>
          <w:szCs w:val="24"/>
        </w:rPr>
        <w:t>kvarh</w:t>
      </w:r>
      <w:proofErr w:type="spellEnd"/>
      <w:r w:rsidR="00FE1B19">
        <w:rPr>
          <w:szCs w:val="24"/>
        </w:rPr>
        <w:t>, o už reaktyvinės elektros energijos suvartojimą ‒ 1 ct/</w:t>
      </w:r>
      <w:proofErr w:type="spellStart"/>
      <w:r w:rsidR="00FE1B19">
        <w:rPr>
          <w:szCs w:val="24"/>
        </w:rPr>
        <w:t>kvarh</w:t>
      </w:r>
      <w:proofErr w:type="spellEnd"/>
      <w:r w:rsidR="00FE1B19">
        <w:rPr>
          <w:szCs w:val="24"/>
        </w:rPr>
        <w:t>.</w:t>
      </w:r>
    </w:p>
    <w:p w:rsidR="00124D25" w:rsidRDefault="00F3746C">
      <w:pPr>
        <w:suppressAutoHyphens/>
        <w:ind w:firstLine="720"/>
        <w:jc w:val="both"/>
        <w:rPr>
          <w:szCs w:val="24"/>
        </w:rPr>
      </w:pPr>
      <w:r w:rsidR="00FE1B19">
        <w:rPr>
          <w:szCs w:val="24"/>
        </w:rPr>
        <w:t>13</w:t>
      </w:r>
      <w:r w:rsidR="00FE1B19">
        <w:rPr>
          <w:szCs w:val="24"/>
        </w:rPr>
        <w:t>. Visos nurodytos kainos yra be akcizo mokesčio ir PVM.</w:t>
      </w:r>
    </w:p>
    <w:p w:rsidR="00124D25" w:rsidRDefault="00F3746C">
      <w:pPr>
        <w:suppressAutoHyphens/>
        <w:ind w:firstLine="720"/>
        <w:jc w:val="both"/>
        <w:rPr>
          <w:szCs w:val="24"/>
        </w:rPr>
      </w:pPr>
      <w:r w:rsidR="00FE1B19">
        <w:rPr>
          <w:szCs w:val="24"/>
        </w:rPr>
        <w:t>14</w:t>
      </w:r>
      <w:r w:rsidR="00FE1B19">
        <w:rPr>
          <w:szCs w:val="24"/>
        </w:rPr>
        <w:t>. Vadovaujantis Lietuvos Respublikos elektros energetikos įstatymo 44 straipsnio 5 dalimi ir 46 straipsnio 5 dalimi, vartotojai, atsiskaitydami su AB „Akmenės cementas“ už elektros energijos persiuntimo paslaugas, taip pat privalo atsiskaityti ir už viešuosius interesus atitinkančių paslaugas teisės aktų tvarka nustatyta kaina, kuri nėra įtraukta į šioje Tvarkoje nurodytas energijos dedamųjų kainas.</w:t>
      </w:r>
    </w:p>
    <w:p w:rsidR="00124D25" w:rsidRDefault="00F3746C">
      <w:pPr>
        <w:tabs>
          <w:tab w:val="left" w:pos="993"/>
        </w:tabs>
        <w:suppressAutoHyphens/>
        <w:ind w:firstLine="720"/>
        <w:jc w:val="both"/>
        <w:rPr>
          <w:szCs w:val="24"/>
        </w:rPr>
      </w:pPr>
      <w:r w:rsidR="00FE1B19">
        <w:rPr>
          <w:szCs w:val="24"/>
        </w:rPr>
        <w:t>15</w:t>
      </w:r>
      <w:r w:rsidR="00FE1B19">
        <w:rPr>
          <w:szCs w:val="24"/>
        </w:rPr>
        <w:t>. Pasikeitus Lietuvos Respublikos įstatymams ar jų nuostatoms, reglamentuojančioms elektros energijos persiuntimo paslaugos kainas, atitinkamai perskaičiuojamos persiuntimo paslaugos kainos, nekeičiant tarifų taikymo tvarkos.</w:t>
      </w:r>
    </w:p>
    <w:p w:rsidR="00124D25" w:rsidRDefault="00FE1B19">
      <w:pPr>
        <w:tabs>
          <w:tab w:val="left" w:pos="1134"/>
        </w:tabs>
        <w:suppressAutoHyphens/>
        <w:ind w:firstLine="720"/>
        <w:jc w:val="center"/>
        <w:rPr>
          <w:sz w:val="22"/>
          <w:szCs w:val="22"/>
        </w:rPr>
      </w:pPr>
      <w:r>
        <w:rPr>
          <w:szCs w:val="24"/>
        </w:rPr>
        <w:t>__</w:t>
      </w:r>
      <w:bookmarkStart w:id="0" w:name="_GoBack"/>
      <w:bookmarkEnd w:id="0"/>
      <w:r>
        <w:rPr>
          <w:szCs w:val="24"/>
        </w:rPr>
        <w:t>____________________________________</w:t>
      </w:r>
    </w:p>
    <w:sectPr w:rsidR="00124D25">
      <w:pgSz w:w="11906" w:h="16838"/>
      <w:pgMar w:top="1134" w:right="567" w:bottom="1134" w:left="1701" w:header="720" w:footer="720" w:gutter="0"/>
      <w:pgNumType w:start="1"/>
      <w:cols w:space="720"/>
      <w:formProt w:val="0"/>
      <w:titlePg/>
      <w:docGrid w:linePitch="326"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D25" w:rsidRDefault="00FE1B19">
      <w:pPr>
        <w:suppressAutoHyphens/>
        <w:rPr>
          <w:sz w:val="22"/>
          <w:szCs w:val="22"/>
        </w:rPr>
      </w:pPr>
      <w:r>
        <w:rPr>
          <w:sz w:val="22"/>
          <w:szCs w:val="22"/>
        </w:rPr>
        <w:separator/>
      </w:r>
    </w:p>
  </w:endnote>
  <w:endnote w:type="continuationSeparator" w:id="0">
    <w:p w:rsidR="00124D25" w:rsidRDefault="00FE1B19">
      <w:pPr>
        <w:suppressAutoHyphens/>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D25" w:rsidRDefault="00124D25">
    <w:pPr>
      <w:tabs>
        <w:tab w:val="center" w:pos="4819"/>
        <w:tab w:val="right" w:pos="9638"/>
      </w:tabs>
      <w:suppressAutoHyphens/>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D25" w:rsidRDefault="00124D25">
    <w:pPr>
      <w:tabs>
        <w:tab w:val="center" w:pos="4819"/>
        <w:tab w:val="right" w:pos="9638"/>
      </w:tabs>
      <w:suppressAutoHyphens/>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D25" w:rsidRDefault="00FE1B19">
      <w:pPr>
        <w:suppressAutoHyphens/>
        <w:rPr>
          <w:sz w:val="22"/>
          <w:szCs w:val="22"/>
        </w:rPr>
      </w:pPr>
      <w:r>
        <w:rPr>
          <w:sz w:val="22"/>
          <w:szCs w:val="22"/>
        </w:rPr>
        <w:separator/>
      </w:r>
    </w:p>
  </w:footnote>
  <w:footnote w:type="continuationSeparator" w:id="0">
    <w:p w:rsidR="00124D25" w:rsidRDefault="00FE1B19">
      <w:pPr>
        <w:suppressAutoHyphens/>
        <w:rPr>
          <w:sz w:val="22"/>
          <w:szCs w:val="22"/>
        </w:rPr>
      </w:pPr>
      <w:r>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D25" w:rsidRDefault="00FE1B19">
    <w:pPr>
      <w:tabs>
        <w:tab w:val="center" w:pos="4819"/>
        <w:tab w:val="right" w:pos="9638"/>
      </w:tabs>
      <w:suppressAutoHyphens/>
      <w:jc w:val="center"/>
      <w:rPr>
        <w:sz w:val="22"/>
        <w:szCs w:val="22"/>
      </w:rPr>
    </w:pPr>
    <w:r>
      <w:rPr>
        <w:szCs w:val="24"/>
      </w:rPr>
      <w:fldChar w:fldCharType="begin"/>
    </w:r>
    <w:r>
      <w:rPr>
        <w:szCs w:val="24"/>
      </w:rPr>
      <w:instrText xml:space="preserve"> PAGE </w:instrText>
    </w:r>
    <w:r>
      <w:rPr>
        <w:szCs w:val="24"/>
      </w:rPr>
      <w:fldChar w:fldCharType="separate"/>
    </w:r>
    <w:r w:rsidR="00F3746C">
      <w:rPr>
        <w:noProof/>
        <w:szCs w:val="24"/>
      </w:rPr>
      <w:t>2</w:t>
    </w:r>
    <w:r>
      <w:rPr>
        <w:szCs w:val="24"/>
      </w:rPr>
      <w:fldChar w:fldCharType="end"/>
    </w:r>
  </w:p>
  <w:p w:rsidR="00124D25" w:rsidRDefault="00124D25">
    <w:pPr>
      <w:tabs>
        <w:tab w:val="center" w:pos="4819"/>
        <w:tab w:val="right" w:pos="9638"/>
      </w:tabs>
      <w:suppressAutoHyphens/>
      <w:jc w:val="center"/>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8"/>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F46"/>
    <w:rsid w:val="00124D25"/>
    <w:rsid w:val="00394FFC"/>
    <w:rsid w:val="00A871D7"/>
    <w:rsid w:val="00AE7800"/>
    <w:rsid w:val="00DB7F46"/>
    <w:rsid w:val="00F3746C"/>
    <w:rsid w:val="00FE1B19"/>
  </w:rsids>
  <m:mathPr>
    <m:mathFont m:val="Cambria Math"/>
    <m:brkBin m:val="before"/>
    <m:brkBinSub m:val="--"/>
    <m:smallFrac m:val="0"/>
    <m:dispDef/>
    <m:lMargin m:val="0"/>
    <m:rMargin m:val="0"/>
    <m:defJc m:val="centerGroup"/>
    <m:wrapIndent m:val="1440"/>
    <m:intLim m:val="subSup"/>
    <m:naryLim m:val="undOvr"/>
  </m:mathPr>
  <w:themeFontLang w:val="lt-LT" w:eastAsia=""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FBE68"/>
  <w15:docId w15:val="{7323BD04-5F55-4CE2-BE0C-06D7ECEF4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94FF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Relationships xmlns="http://schemas.openxmlformats.org/package/2006/relationships">
  <Relationship Id="rId10" Type="http://schemas.openxmlformats.org/officeDocument/2006/relationships/footer" Target="footer2.xml"/>
  <Relationship Id="rId11" Type="http://schemas.openxmlformats.org/officeDocument/2006/relationships/fontTable" Target="fontTable.xml"/>
  <Relationship Id="rId12" Type="http://schemas.openxmlformats.org/officeDocument/2006/relationships/glossaryDocument" Target="glossary/document.xml"/>
  <Relationship Id="rId13"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footer" Target="foot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Bendrosios nuostatos"/>
          <w:gallery w:val="placeholder"/>
        </w:category>
        <w:types>
          <w:type w:val="bbPlcHdr"/>
        </w:types>
        <w:behaviors>
          <w:behavior w:val="content"/>
        </w:behaviors>
        <w:guid w:val="{4F805C07-29AC-49E2-AD24-8619FF53F476}"/>
      </w:docPartPr>
      <w:docPartBody>
        <w:p w:rsidR="009140D2" w:rsidRDefault="00E667F1">
          <w:r w:rsidRPr="00CA443A">
            <w:rPr>
              <w:rStyle w:val="Vietosrezervavimoenklotekstas"/>
            </w:rPr>
            <w:t>Norėdami įvesti tekstą, spustelėkite arba bakstelėkite čia.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7F1"/>
    <w:rsid w:val="009140D2"/>
    <w:rsid w:val="00E667F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667F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4261</Words>
  <Characters>2429</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6677</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2023-11-16T14:14:00Z</dcterms:created>
  <dc:creator>Gitana Andrulytė</dc:creator>
  <dc:language>en-US</dc:language>
  <lastModifiedBy>DZIKAITĖ Jolanta</lastModifiedBy>
  <dcterms:modified xsi:type="dcterms:W3CDTF">2023-11-16T14:17:00Z</dcterms:modified>
  <revision>3</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